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1E58E" w14:textId="7BEED3AF" w:rsidR="00DF628B" w:rsidRPr="00DF628B" w:rsidRDefault="00DF628B" w:rsidP="00816E17">
      <w:pPr>
        <w:ind w:left="4248"/>
      </w:pPr>
      <w:r w:rsidRPr="00DF628B">
        <w:t>До</w:t>
      </w:r>
    </w:p>
    <w:p w14:paraId="2AA04949" w14:textId="143BD0E5" w:rsidR="00DF628B" w:rsidRPr="00DF628B" w:rsidRDefault="00DF628B" w:rsidP="00816E17">
      <w:pPr>
        <w:ind w:left="4248"/>
      </w:pPr>
      <w:r w:rsidRPr="00DF628B">
        <w:t>Народните представители в</w:t>
      </w:r>
    </w:p>
    <w:p w14:paraId="6228410C" w14:textId="77777777" w:rsidR="00DF628B" w:rsidRPr="00DF628B" w:rsidRDefault="00DF628B" w:rsidP="00816E17">
      <w:pPr>
        <w:ind w:left="4248"/>
      </w:pPr>
      <w:r w:rsidRPr="00DF628B">
        <w:t>48-ото Народно събрание,</w:t>
      </w:r>
    </w:p>
    <w:p w14:paraId="3D5446CC" w14:textId="77777777" w:rsidR="00DF628B" w:rsidRPr="00DF628B" w:rsidRDefault="00DF628B" w:rsidP="00816E17">
      <w:pPr>
        <w:ind w:left="4248"/>
      </w:pPr>
      <w:r w:rsidRPr="00DF628B">
        <w:t>Комисия по правни въпроси</w:t>
      </w:r>
    </w:p>
    <w:p w14:paraId="652CC6FD" w14:textId="77777777" w:rsidR="00DF628B" w:rsidRPr="00DF628B" w:rsidRDefault="00DF628B" w:rsidP="00816E17">
      <w:pPr>
        <w:ind w:left="4248"/>
      </w:pPr>
    </w:p>
    <w:p w14:paraId="01DAD1AC" w14:textId="55C99F75" w:rsidR="00DF628B" w:rsidRPr="00DF628B" w:rsidRDefault="00DF628B" w:rsidP="00816E17">
      <w:pPr>
        <w:ind w:left="4248"/>
      </w:pPr>
      <w:r w:rsidRPr="00DF628B">
        <w:rPr>
          <w:b/>
          <w:bCs/>
        </w:rPr>
        <w:t>С Т А Н О В И Щ Е</w:t>
      </w:r>
    </w:p>
    <w:p w14:paraId="42AA6D54" w14:textId="4E0D1664" w:rsidR="00DF628B" w:rsidRPr="00DF628B" w:rsidRDefault="00DF628B" w:rsidP="00816E17">
      <w:pPr>
        <w:ind w:left="4248"/>
      </w:pPr>
      <w:r w:rsidRPr="00DF628B">
        <w:t>по Законопроект за изменение и допълнение</w:t>
      </w:r>
    </w:p>
    <w:p w14:paraId="1F31120D" w14:textId="77777777" w:rsidR="00DF628B" w:rsidRPr="00DF628B" w:rsidRDefault="00DF628B" w:rsidP="00816E17">
      <w:pPr>
        <w:ind w:left="4248"/>
      </w:pPr>
      <w:r w:rsidRPr="00DF628B">
        <w:t>на Наказателно-процесуалния кодекс № 48-202-01-46/30.12.2022 г.</w:t>
      </w:r>
    </w:p>
    <w:p w14:paraId="388E41BB" w14:textId="77777777" w:rsidR="00DF628B" w:rsidRPr="00DF628B" w:rsidRDefault="00DF628B" w:rsidP="00816E17">
      <w:pPr>
        <w:ind w:left="4248"/>
      </w:pPr>
    </w:p>
    <w:p w14:paraId="447C87F0" w14:textId="6720D823" w:rsidR="00DF628B" w:rsidRPr="00DF628B" w:rsidRDefault="00DF628B" w:rsidP="00816E17">
      <w:pPr>
        <w:ind w:left="4248"/>
      </w:pPr>
      <w:r w:rsidRPr="00DF628B">
        <w:t>от</w:t>
      </w:r>
    </w:p>
    <w:p w14:paraId="7877D654" w14:textId="77777777" w:rsidR="00DF628B" w:rsidRPr="00DF628B" w:rsidRDefault="00DF628B" w:rsidP="00816E17">
      <w:pPr>
        <w:ind w:left="4248"/>
      </w:pPr>
      <w:r w:rsidRPr="00DF628B">
        <w:t>адв. Адела Качаунова</w:t>
      </w:r>
    </w:p>
    <w:p w14:paraId="2866540C" w14:textId="02E7CDD8" w:rsidR="00DF628B" w:rsidRPr="00DF628B" w:rsidRDefault="00DF628B" w:rsidP="00816E17">
      <w:pPr>
        <w:ind w:left="4248"/>
      </w:pPr>
      <w:r w:rsidRPr="00DF628B">
        <w:t>Директорка на програмата за правна защита на</w:t>
      </w:r>
    </w:p>
    <w:p w14:paraId="78B309D4" w14:textId="77777777" w:rsidR="00DF628B" w:rsidRPr="00DF628B" w:rsidRDefault="00DF628B" w:rsidP="00816E17">
      <w:pPr>
        <w:ind w:left="4248"/>
      </w:pPr>
      <w:r w:rsidRPr="00DF628B">
        <w:t>Българския хелзинкски комитет (БХК)</w:t>
      </w:r>
    </w:p>
    <w:p w14:paraId="078CF012" w14:textId="77777777" w:rsidR="00DF628B" w:rsidRPr="00DF628B" w:rsidRDefault="00DF628B" w:rsidP="00816E17">
      <w:pPr>
        <w:ind w:left="4248"/>
      </w:pPr>
    </w:p>
    <w:p w14:paraId="44E2A54D" w14:textId="77777777" w:rsidR="00DF628B" w:rsidRPr="00DF628B" w:rsidRDefault="00DF628B" w:rsidP="00816E17">
      <w:pPr>
        <w:ind w:left="4248"/>
      </w:pPr>
      <w:r w:rsidRPr="00DF628B">
        <w:t>адв. Андрей Янкулов</w:t>
      </w:r>
    </w:p>
    <w:p w14:paraId="45EC4EBE" w14:textId="77777777" w:rsidR="00DF628B" w:rsidRPr="00DF628B" w:rsidRDefault="00DF628B" w:rsidP="00816E17">
      <w:pPr>
        <w:ind w:left="4248"/>
      </w:pPr>
      <w:r w:rsidRPr="00DF628B">
        <w:t>Старши правен експерт към Антикорупционен фонд (АКФ)</w:t>
      </w:r>
    </w:p>
    <w:p w14:paraId="1595ABB6" w14:textId="77777777" w:rsidR="00DF628B" w:rsidRPr="00DF628B" w:rsidRDefault="00DF628B" w:rsidP="00816E17">
      <w:pPr>
        <w:ind w:left="4248"/>
      </w:pPr>
    </w:p>
    <w:p w14:paraId="29E9330B" w14:textId="77777777" w:rsidR="00DF628B" w:rsidRPr="00DF628B" w:rsidRDefault="00DF628B" w:rsidP="00816E17">
      <w:pPr>
        <w:ind w:left="4248"/>
      </w:pPr>
      <w:r w:rsidRPr="00DF628B">
        <w:t>Иван Брегов</w:t>
      </w:r>
    </w:p>
    <w:p w14:paraId="7258033C" w14:textId="77777777" w:rsidR="00DF628B" w:rsidRPr="00DF628B" w:rsidRDefault="00DF628B" w:rsidP="00816E17">
      <w:pPr>
        <w:ind w:left="4248"/>
      </w:pPr>
      <w:r w:rsidRPr="00DF628B">
        <w:t>Ръководител на правната програма на Института за пазарна икономика (ИПИ)</w:t>
      </w:r>
    </w:p>
    <w:p w14:paraId="3581179F" w14:textId="77777777" w:rsidR="00DF628B" w:rsidRPr="00DF628B" w:rsidRDefault="00DF628B" w:rsidP="00816E17">
      <w:pPr>
        <w:ind w:left="4248"/>
      </w:pPr>
    </w:p>
    <w:p w14:paraId="34740E4C" w14:textId="77777777" w:rsidR="00DF628B" w:rsidRPr="00DF628B" w:rsidRDefault="00DF628B" w:rsidP="00816E17">
      <w:pPr>
        <w:ind w:left="4248"/>
      </w:pPr>
      <w:r w:rsidRPr="00DF628B">
        <w:t xml:space="preserve">адв. Стоян </w:t>
      </w:r>
      <w:proofErr w:type="spellStart"/>
      <w:r w:rsidRPr="00DF628B">
        <w:t>Мадин</w:t>
      </w:r>
      <w:proofErr w:type="spellEnd"/>
      <w:r w:rsidRPr="00DF628B">
        <w:t>, Български адвокати за права на човека (БАПЧ)</w:t>
      </w:r>
    </w:p>
    <w:p w14:paraId="635543C9" w14:textId="77777777" w:rsidR="00DF628B" w:rsidRPr="00DF628B" w:rsidRDefault="00DF628B" w:rsidP="00816E17">
      <w:pPr>
        <w:spacing w:before="1200"/>
      </w:pPr>
    </w:p>
    <w:p w14:paraId="59166F7A" w14:textId="731B3A96" w:rsidR="00DF628B" w:rsidRDefault="00DF628B" w:rsidP="00DF628B">
      <w:r>
        <w:tab/>
      </w:r>
      <w:r w:rsidRPr="00DF628B">
        <w:t>Уважаеми госпожи и господа Народни представители,</w:t>
      </w:r>
    </w:p>
    <w:p w14:paraId="76A39096" w14:textId="77777777" w:rsidR="00DF628B" w:rsidRPr="00DF628B" w:rsidRDefault="00DF628B" w:rsidP="00DF628B"/>
    <w:p w14:paraId="4CBF8605" w14:textId="7820C7E9" w:rsidR="00DF628B" w:rsidRDefault="00DF628B" w:rsidP="00DF628B">
      <w:r>
        <w:tab/>
      </w:r>
      <w:r w:rsidRPr="00DF628B">
        <w:t>Представяме и молим да приемете настоящото становище по Законопроект за изменение и допълнение на Наказателно-процесуалния кодекс № 48-202-01-46 от 30.12.2022 г.</w:t>
      </w:r>
    </w:p>
    <w:p w14:paraId="424E2539" w14:textId="77777777" w:rsidR="00DF628B" w:rsidRPr="00DF628B" w:rsidRDefault="00DF628B" w:rsidP="00DF628B"/>
    <w:p w14:paraId="6A853A77" w14:textId="4AF6C643" w:rsidR="00DF628B" w:rsidRPr="00DF628B" w:rsidRDefault="00DF628B" w:rsidP="00DF628B">
      <w:pPr>
        <w:pStyle w:val="Heading1"/>
      </w:pPr>
      <w:r w:rsidRPr="00DF628B">
        <w:t>I. Общи коментари</w:t>
      </w:r>
    </w:p>
    <w:p w14:paraId="1420E078" w14:textId="5FB5C22C" w:rsidR="00DF628B" w:rsidRPr="00DF628B" w:rsidRDefault="00DF628B" w:rsidP="00DF628B">
      <w:r>
        <w:tab/>
      </w:r>
      <w:r w:rsidRPr="00DF628B">
        <w:t xml:space="preserve">Изразяваме принципна подкрепа за така предложения законопроект, приемането на който е крайно наложително и закъсняло. Проектът е съобразен с </w:t>
      </w:r>
      <w:r w:rsidRPr="00DF628B">
        <w:rPr>
          <w:i/>
          <w:iCs/>
        </w:rPr>
        <w:t xml:space="preserve">Междинната </w:t>
      </w:r>
      <w:r w:rsidRPr="00DF628B">
        <w:rPr>
          <w:i/>
          <w:iCs/>
        </w:rPr>
        <w:lastRenderedPageBreak/>
        <w:t>резолюция на Комитета на министрите на Съвета на Европа, приета на 05.12.2019 г. (CM/</w:t>
      </w:r>
      <w:proofErr w:type="spellStart"/>
      <w:r w:rsidRPr="00DF628B">
        <w:rPr>
          <w:i/>
          <w:iCs/>
        </w:rPr>
        <w:t>ResDH</w:t>
      </w:r>
      <w:proofErr w:type="spellEnd"/>
      <w:r w:rsidRPr="00DF628B">
        <w:rPr>
          <w:i/>
          <w:iCs/>
        </w:rPr>
        <w:t xml:space="preserve">(2019)367), </w:t>
      </w:r>
      <w:r w:rsidRPr="00DF628B">
        <w:t xml:space="preserve">препоръките на Венецианската комисия, включително с последното нейно становище от 24 октомври 2022 г. и съдържа редица разпоредби в отговор на осъдителните решения на ЕСПЧ по групите дела </w:t>
      </w:r>
      <w:r w:rsidRPr="00DF628B">
        <w:rPr>
          <w:i/>
          <w:iCs/>
        </w:rPr>
        <w:t>С.З./Колеви</w:t>
      </w:r>
      <w:r w:rsidRPr="00DF628B">
        <w:t xml:space="preserve"> и </w:t>
      </w:r>
      <w:r w:rsidRPr="00DF628B">
        <w:rPr>
          <w:i/>
          <w:iCs/>
        </w:rPr>
        <w:t>Великова срещу България</w:t>
      </w:r>
      <w:r w:rsidRPr="00DF628B">
        <w:t>.</w:t>
      </w:r>
    </w:p>
    <w:p w14:paraId="4C500B06" w14:textId="09BAD623" w:rsidR="00DF628B" w:rsidRPr="00DF628B" w:rsidRDefault="00DF628B" w:rsidP="00DF628B">
      <w:r>
        <w:tab/>
      </w:r>
      <w:r w:rsidRPr="00DF628B">
        <w:t>Несъмнено пълноценно преустройство на съдебната власт в Република България би било постижимо единствено чрез изменения в българската Конституция, които да доведат до засилване на съдебната независимост и дължимата отчетност на Прокуратурата на РБ. Въпреки това смятаме, че този законопроект е първа крачка към повишаване на ефективността на наказателния процес през въвеждане на механизми за засилен външен контрол върху начина на упражняване/</w:t>
      </w:r>
      <w:proofErr w:type="spellStart"/>
      <w:r w:rsidRPr="00DF628B">
        <w:t>неупражняване</w:t>
      </w:r>
      <w:proofErr w:type="spellEnd"/>
      <w:r w:rsidRPr="00DF628B">
        <w:t xml:space="preserve"> на прокурорските правомощия, както и гарантиране на институционална, йерархична и практическа независимост на органите, които контролират или провеждат разследване по отношение на главния прокурор.</w:t>
      </w:r>
    </w:p>
    <w:p w14:paraId="35C3BE32" w14:textId="1E67A893" w:rsidR="00DF628B" w:rsidRDefault="00DF628B" w:rsidP="00DF628B">
      <w:r>
        <w:tab/>
      </w:r>
      <w:r w:rsidRPr="00DF628B">
        <w:t xml:space="preserve">Макар този законопроект да носи множество прилики със законопроект за изменение и допълнение на Наказателно-процесуалния кодекс, № 48-254-01-1, внесен от Надежда Георгиева Йорданова и група народни представители </w:t>
      </w:r>
      <w:proofErr w:type="spellStart"/>
      <w:r w:rsidRPr="00DF628B">
        <w:t>нa</w:t>
      </w:r>
      <w:proofErr w:type="spellEnd"/>
      <w:r w:rsidRPr="00DF628B">
        <w:t xml:space="preserve"> 19.10.2022 г., считаме, че настоящият отразява в по-пълна степен необходимите и наложителни изменения в областта и препоръките на Венецианската комисия и Комитета на министрите</w:t>
      </w:r>
      <w:r>
        <w:t>.</w:t>
      </w:r>
    </w:p>
    <w:p w14:paraId="61A3F309" w14:textId="77777777" w:rsidR="00DF628B" w:rsidRPr="00DF628B" w:rsidRDefault="00DF628B" w:rsidP="00DF628B"/>
    <w:p w14:paraId="316455E9" w14:textId="77777777" w:rsidR="00DF628B" w:rsidRPr="00DF628B" w:rsidRDefault="00DF628B" w:rsidP="00DF628B">
      <w:pPr>
        <w:pStyle w:val="Heading1"/>
      </w:pPr>
      <w:r w:rsidRPr="00DF628B">
        <w:t>II. Конкретни предложения</w:t>
      </w:r>
    </w:p>
    <w:p w14:paraId="7140AC00" w14:textId="7BF58084" w:rsidR="00DF628B" w:rsidRPr="00DF628B" w:rsidRDefault="00DF628B" w:rsidP="00DF628B">
      <w:r>
        <w:tab/>
      </w:r>
      <w:r w:rsidRPr="00DF628B">
        <w:t xml:space="preserve">На първо място, подчертаваме, че подкрепяме въвеждането на </w:t>
      </w:r>
      <w:proofErr w:type="spellStart"/>
      <w:r w:rsidRPr="00DF628B">
        <w:t>едноинстанционен</w:t>
      </w:r>
      <w:proofErr w:type="spellEnd"/>
      <w:r w:rsidRPr="00DF628B">
        <w:t xml:space="preserve"> съдебен контрол върху </w:t>
      </w:r>
      <w:r w:rsidRPr="00DF628B">
        <w:rPr>
          <w:b/>
          <w:bCs/>
          <w:i/>
          <w:iCs/>
        </w:rPr>
        <w:t xml:space="preserve">всички </w:t>
      </w:r>
      <w:r w:rsidRPr="00DF628B">
        <w:t xml:space="preserve">откази за образуване на досъдебно производство при запазения вътрешен контрол на едно ниво в рамките на прокуратурата. Ограничаването на обхвата на съдебния контрол само до конкретни престъпления крие поне три сериозни риска: 1) престъпления с висока в дадения случай степен на обществен интерес от външна проверка да бъдат изключени от контрола, защото не изпълват формалния критерий за обхват на проверката; 2) обективната неяснота, предвид много началния етап на събирането на информация за престъплението, за каква точно правна квалификация става дума; 3) опасността нормативно зададените филтри да бъдат допълнително разширени от практиката по прилагане на текстовете. Такова ограничение има само едно потенциално предимство: редуциране на риска от  претовареност на съдилищата, която обаче, предвид данните за устойчиво намаляващ брой на делата в наказателните съдилища и броя обжалвани откази досега, не може да бъде прогнозирана. В момента </w:t>
      </w:r>
      <w:proofErr w:type="spellStart"/>
      <w:r w:rsidRPr="00DF628B">
        <w:t>инстанционният</w:t>
      </w:r>
      <w:proofErr w:type="spellEnd"/>
      <w:r w:rsidRPr="00DF628B">
        <w:t xml:space="preserve"> контрол на отказите за образуване на досъдебно производство, осъществяван в прокуратурата, е в състояние да ангажира три инстанции. При най-разпространените случаи, когато компетентна да се произнесе за наличието на предпоставките за образуване на досъдебно производство е районна прокуратурата, </w:t>
      </w:r>
      <w:proofErr w:type="spellStart"/>
      <w:r w:rsidRPr="00DF628B">
        <w:t>инстанционният</w:t>
      </w:r>
      <w:proofErr w:type="spellEnd"/>
      <w:r w:rsidRPr="00DF628B">
        <w:t xml:space="preserve"> контрол се осъществява от окръжна, апелативна и върховна касационна </w:t>
      </w:r>
      <w:r w:rsidRPr="00DF628B">
        <w:lastRenderedPageBreak/>
        <w:t xml:space="preserve">прокуратури, т. е. и към момента е ангажиран държавен ресурс, но при съмнителна ефективност. Прехвърлянето на контрола към съдилищата не само няма да натовари съдебната власт, а има изгледи, с оглед въвеждането на </w:t>
      </w:r>
      <w:proofErr w:type="spellStart"/>
      <w:r w:rsidRPr="00DF628B">
        <w:t>едноинстанционно</w:t>
      </w:r>
      <w:proofErr w:type="spellEnd"/>
      <w:r w:rsidRPr="00DF628B">
        <w:t xml:space="preserve"> производство, да разтовари повече магистрати.</w:t>
      </w:r>
    </w:p>
    <w:p w14:paraId="59136C77" w14:textId="583ECAC3" w:rsidR="00DF628B" w:rsidRPr="00DF628B" w:rsidRDefault="00DF628B" w:rsidP="00DF628B">
      <w:r>
        <w:tab/>
      </w:r>
      <w:r w:rsidRPr="00DF628B">
        <w:t>Точка 34 от Препоръка 19 от 2000 г. на Комитета на министрите на Съвета на Европа относно ролята на прокуратурата в системата на наказателно правосъдие не въвежда никакви изрични критерии (като вида на извършеното престъпление или други) за стесняване на съдебния контрол върху решението на прокурора да не обвини. В свои предишни становища Венецианската комисия е препоръчвала на България съдебен контрол само при тежки престъпления (</w:t>
      </w:r>
      <w:proofErr w:type="spellStart"/>
      <w:r w:rsidRPr="00DF628B">
        <w:rPr>
          <w:i/>
          <w:iCs/>
        </w:rPr>
        <w:t>serious</w:t>
      </w:r>
      <w:proofErr w:type="spellEnd"/>
      <w:r w:rsidRPr="00DF628B">
        <w:rPr>
          <w:i/>
          <w:iCs/>
        </w:rPr>
        <w:t xml:space="preserve"> </w:t>
      </w:r>
      <w:proofErr w:type="spellStart"/>
      <w:r w:rsidRPr="00DF628B">
        <w:rPr>
          <w:i/>
          <w:iCs/>
        </w:rPr>
        <w:t>crimes</w:t>
      </w:r>
      <w:proofErr w:type="spellEnd"/>
      <w:r w:rsidRPr="00DF628B">
        <w:t>) като възможен филтър срещу опасенията от претоварване на съдилищата. В последното си мнение обаче оттам изрично заявяват, че това трябва да се разбира единствено като търсен абсолютен минимум, но националните власти са тези, които най-добре могат да преценят обхвата на съдебния контрол. Постоянно манифестираният страх на българските власти от претрупване с работа на системата на наказателно правосъдие не намира опора нито в собствените им данни за намаляваща натовареност, нито в сравнението на броя съдии, прокурори, съдебни служители и наказателни дела между България и средното европейско ниво.</w:t>
      </w:r>
    </w:p>
    <w:p w14:paraId="593503CB" w14:textId="4158A495" w:rsidR="00DF628B" w:rsidRPr="00DF628B" w:rsidRDefault="00DF628B" w:rsidP="00DF628B">
      <w:r>
        <w:tab/>
      </w:r>
      <w:r w:rsidRPr="00DF628B">
        <w:t xml:space="preserve">Принципно подкрепяме въвеждането на текста на чл. 138а, ал. 2 (§ 26, т. 5 от законопроекта), но във връзка с предлаганите изменения изразяваме тревогата си, че главният прокурор и към този момент не спазва задължението си за публикуване на всички свои актове на сайта на ПРБ </w:t>
      </w:r>
      <w:r w:rsidR="00882764">
        <w:t>–</w:t>
      </w:r>
      <w:r w:rsidRPr="00DF628B">
        <w:t xml:space="preserve"> чл. 138, ал. 1, т. 6 от ЗСВ. Необходимо е да се прецени изпълнението на задълженията на главния прокурор, произтичащи от закон и да се въведе срок за тяхното изпълнение.</w:t>
      </w:r>
    </w:p>
    <w:p w14:paraId="61DF7888" w14:textId="2BAEAA8C" w:rsidR="00DF628B" w:rsidRPr="00DF628B" w:rsidRDefault="00DF628B" w:rsidP="00DF628B">
      <w:r>
        <w:tab/>
      </w:r>
      <w:r w:rsidRPr="00DF628B">
        <w:t xml:space="preserve">По отношение на предлагания текст на чл. 144б в Наказателния кодекс (§ 28, т. 3 от законопроекта), въвеждащ състав на престъплението </w:t>
      </w:r>
      <w:r w:rsidR="00455C9B">
        <w:t>„</w:t>
      </w:r>
      <w:r w:rsidRPr="00DF628B">
        <w:t>изтезание</w:t>
      </w:r>
      <w:r w:rsidR="00455C9B">
        <w:t>“</w:t>
      </w:r>
      <w:r w:rsidRPr="00DF628B">
        <w:t xml:space="preserve"> излагаме резервите си по конкретната редакция, становище за което сме изразявали в рамките на работната група към министъра на правосъдието, както и в предишни опити за въвеждане на престъплението изтезание в българското право. Така предложената редакция не съдържа дефиниция на престъплението изтезание и не е съобразена с практиката на Европейския съд по правата на човека, която не допуска давност за този вид престъпление. Предлаганите размери на наказанието също не са съобразени с тежестта на престъплението.</w:t>
      </w:r>
    </w:p>
    <w:p w14:paraId="551FE7ED" w14:textId="77777777" w:rsidR="00DF628B" w:rsidRPr="00DF628B" w:rsidRDefault="00DF628B" w:rsidP="00DF628B"/>
    <w:p w14:paraId="014021E8" w14:textId="11942956" w:rsidR="00DF628B" w:rsidRDefault="00DF628B" w:rsidP="00DF628B">
      <w:r w:rsidRPr="00DF628B">
        <w:t>10 януари 2023 г.</w:t>
      </w:r>
      <w:r w:rsidR="00455C9B">
        <w:tab/>
      </w:r>
      <w:r w:rsidR="00455C9B">
        <w:tab/>
      </w:r>
      <w:r w:rsidR="00455C9B">
        <w:tab/>
      </w:r>
      <w:r w:rsidR="00455C9B">
        <w:tab/>
      </w:r>
      <w:r w:rsidR="00455C9B">
        <w:tab/>
      </w:r>
      <w:r w:rsidR="00455C9B">
        <w:tab/>
      </w:r>
      <w:r w:rsidR="00455C9B">
        <w:tab/>
        <w:t>С уважение,</w:t>
      </w:r>
    </w:p>
    <w:p w14:paraId="38F13DF7" w14:textId="19E3090B" w:rsidR="00DE3489" w:rsidRDefault="00DF628B" w:rsidP="00DF628B">
      <w:r w:rsidRPr="00DF628B">
        <w:t>София</w:t>
      </w:r>
    </w:p>
    <w:p w14:paraId="10A09A41" w14:textId="5187696F" w:rsidR="00ED1071" w:rsidRDefault="00DE3489" w:rsidP="00DF62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адв. Адела Качаунова</w:t>
      </w:r>
    </w:p>
    <w:p w14:paraId="4B25A299" w14:textId="2C8376B6" w:rsidR="00DE3489" w:rsidRDefault="00DE3489" w:rsidP="00DE3489">
      <w:pPr>
        <w:ind w:left="6372"/>
      </w:pPr>
      <w:r>
        <w:t>адв. Андрей Янкулов</w:t>
      </w:r>
    </w:p>
    <w:p w14:paraId="374D853E" w14:textId="27354192" w:rsidR="00DE3489" w:rsidRDefault="00DE3489" w:rsidP="00DE3489">
      <w:pPr>
        <w:ind w:left="6372"/>
      </w:pPr>
      <w:r>
        <w:t>Иван Брегов</w:t>
      </w:r>
    </w:p>
    <w:p w14:paraId="3751E31E" w14:textId="73E78A14" w:rsidR="00DE3489" w:rsidRDefault="00DE3489" w:rsidP="00DE3489">
      <w:pPr>
        <w:ind w:left="6372"/>
      </w:pPr>
      <w:r>
        <w:t xml:space="preserve">адв. Стоян </w:t>
      </w:r>
      <w:proofErr w:type="spellStart"/>
      <w:r>
        <w:t>Мадин</w:t>
      </w:r>
      <w:proofErr w:type="spellEnd"/>
    </w:p>
    <w:sectPr w:rsidR="00DE3489" w:rsidSect="000B3719">
      <w:footerReference w:type="default" r:id="rId6"/>
      <w:headerReference w:type="first" r:id="rId7"/>
      <w:foot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D2B12" w14:textId="77777777" w:rsidR="00B53750" w:rsidRDefault="00B53750" w:rsidP="00816E17">
      <w:pPr>
        <w:spacing w:line="240" w:lineRule="auto"/>
      </w:pPr>
      <w:r>
        <w:separator/>
      </w:r>
    </w:p>
  </w:endnote>
  <w:endnote w:type="continuationSeparator" w:id="0">
    <w:p w14:paraId="67EC34FE" w14:textId="77777777" w:rsidR="00B53750" w:rsidRDefault="00B53750" w:rsidP="00816E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85356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BFBF2D8" w14:textId="0E9245ED" w:rsidR="00816E17" w:rsidRDefault="00816E17">
            <w:pPr>
              <w:pStyle w:val="Footer"/>
              <w:jc w:val="center"/>
            </w:pPr>
            <w:r>
              <w:t xml:space="preserve">Страница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5090A88" w14:textId="77777777" w:rsidR="00816E17" w:rsidRDefault="00816E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6285541"/>
      <w:docPartObj>
        <w:docPartGallery w:val="Page Numbers (Bottom of Page)"/>
        <w:docPartUnique/>
      </w:docPartObj>
    </w:sdtPr>
    <w:sdtContent>
      <w:sdt>
        <w:sdtPr>
          <w:id w:val="-59871176"/>
          <w:docPartObj>
            <w:docPartGallery w:val="Page Numbers (Top of Page)"/>
            <w:docPartUnique/>
          </w:docPartObj>
        </w:sdtPr>
        <w:sdtContent>
          <w:p w14:paraId="6B80BA13" w14:textId="789A4936" w:rsidR="000B3719" w:rsidRDefault="000B3719" w:rsidP="000B3719">
            <w:pPr>
              <w:pStyle w:val="Footer"/>
              <w:jc w:val="center"/>
            </w:pPr>
            <w:r>
              <w:t xml:space="preserve">Страница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A2F0C" w14:textId="77777777" w:rsidR="00B53750" w:rsidRDefault="00B53750" w:rsidP="00816E17">
      <w:pPr>
        <w:spacing w:line="240" w:lineRule="auto"/>
      </w:pPr>
      <w:r>
        <w:separator/>
      </w:r>
    </w:p>
  </w:footnote>
  <w:footnote w:type="continuationSeparator" w:id="0">
    <w:p w14:paraId="539A83C5" w14:textId="77777777" w:rsidR="00B53750" w:rsidRDefault="00B53750" w:rsidP="00816E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96AC0" w14:textId="243C4AF8" w:rsidR="000B3719" w:rsidRDefault="000B3719" w:rsidP="001F070A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14E077" wp14:editId="3ED07E24">
          <wp:simplePos x="0" y="0"/>
          <wp:positionH relativeFrom="page">
            <wp:align>center</wp:align>
          </wp:positionH>
          <wp:positionV relativeFrom="paragraph">
            <wp:posOffset>1270</wp:posOffset>
          </wp:positionV>
          <wp:extent cx="5731200" cy="612000"/>
          <wp:effectExtent l="0" t="0" r="3175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2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8B"/>
    <w:rsid w:val="000300D4"/>
    <w:rsid w:val="000B3719"/>
    <w:rsid w:val="001F070A"/>
    <w:rsid w:val="00455C9B"/>
    <w:rsid w:val="00477EF3"/>
    <w:rsid w:val="00495EDA"/>
    <w:rsid w:val="006C1F6C"/>
    <w:rsid w:val="00816E17"/>
    <w:rsid w:val="00882764"/>
    <w:rsid w:val="00B53750"/>
    <w:rsid w:val="00CB69E3"/>
    <w:rsid w:val="00DE3489"/>
    <w:rsid w:val="00DF628B"/>
    <w:rsid w:val="00ED1071"/>
    <w:rsid w:val="00F8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E9C81"/>
  <w15:chartTrackingRefBased/>
  <w15:docId w15:val="{512C5258-1DAE-47D6-848C-C00FAAD5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EF3"/>
    <w:pPr>
      <w:keepNext/>
      <w:keepLines/>
      <w:spacing w:after="120"/>
      <w:outlineLvl w:val="0"/>
    </w:pPr>
    <w:rPr>
      <w:rFonts w:asciiTheme="majorBidi" w:eastAsiaTheme="majorEastAsia" w:hAnsiTheme="majorBidi" w:cstheme="majorBidi"/>
      <w:b/>
      <w:sz w:val="28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EF3"/>
    <w:rPr>
      <w:rFonts w:asciiTheme="majorBidi" w:eastAsiaTheme="majorEastAsia" w:hAnsiTheme="majorBidi" w:cstheme="majorBidi"/>
      <w:b/>
      <w:sz w:val="28"/>
      <w:szCs w:val="32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6E1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E17"/>
  </w:style>
  <w:style w:type="paragraph" w:styleId="Footer">
    <w:name w:val="footer"/>
    <w:basedOn w:val="Normal"/>
    <w:link w:val="FooterChar"/>
    <w:uiPriority w:val="99"/>
    <w:unhideWhenUsed/>
    <w:rsid w:val="00816E1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6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Stoyanov</dc:creator>
  <cp:keywords/>
  <dc:description/>
  <cp:lastModifiedBy>Andrey Yankulov</cp:lastModifiedBy>
  <cp:revision>2</cp:revision>
  <dcterms:created xsi:type="dcterms:W3CDTF">2023-01-10T12:03:00Z</dcterms:created>
  <dcterms:modified xsi:type="dcterms:W3CDTF">2023-01-10T12:03:00Z</dcterms:modified>
</cp:coreProperties>
</file>